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00" w:type="dxa"/>
        <w:tblCellSpacing w:w="0" w:type="dxa"/>
        <w:tblCellMar>
          <w:left w:w="0" w:type="dxa"/>
          <w:right w:w="0" w:type="dxa"/>
        </w:tblCellMar>
        <w:tblLook w:val="04A0"/>
      </w:tblPr>
      <w:tblGrid>
        <w:gridCol w:w="152"/>
        <w:gridCol w:w="7948"/>
      </w:tblGrid>
      <w:tr w:rsidR="0080677F" w:rsidRPr="0080677F" w:rsidTr="0080677F">
        <w:trPr>
          <w:tblCellSpacing w:w="0" w:type="dxa"/>
        </w:trPr>
        <w:tc>
          <w:tcPr>
            <w:tcW w:w="150" w:type="dxa"/>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12065" cy="12065"/>
                  <wp:effectExtent l="0" t="0" r="0" b="0"/>
                  <wp:docPr id="1" name="Bild 1" descr="http://www.balkanweb.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lkanweb.com/images/spacer.gif"/>
                          <pic:cNvPicPr>
                            <a:picLocks noChangeAspect="1" noChangeArrowheads="1"/>
                          </pic:cNvPicPr>
                        </pic:nvPicPr>
                        <pic:blipFill>
                          <a:blip r:embed="rId6"/>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c>
          <w:tcPr>
            <w:tcW w:w="7800" w:type="dxa"/>
            <w:vAlign w:val="center"/>
            <w:hideMark/>
          </w:tcPr>
          <w:tbl>
            <w:tblPr>
              <w:tblW w:w="7830" w:type="dxa"/>
              <w:tblCellSpacing w:w="0" w:type="dxa"/>
              <w:tblCellMar>
                <w:left w:w="0" w:type="dxa"/>
                <w:right w:w="0" w:type="dxa"/>
              </w:tblCellMar>
              <w:tblLook w:val="04A0"/>
            </w:tblPr>
            <w:tblGrid>
              <w:gridCol w:w="7830"/>
            </w:tblGrid>
            <w:tr w:rsidR="0080677F" w:rsidRPr="0080677F">
              <w:trPr>
                <w:tblCellSpacing w:w="0" w:type="dxa"/>
              </w:trPr>
              <w:tc>
                <w:tcPr>
                  <w:tcW w:w="0" w:type="auto"/>
                  <w:vAlign w:val="center"/>
                  <w:hideMark/>
                </w:tcPr>
                <w:tbl>
                  <w:tblPr>
                    <w:tblW w:w="1820" w:type="pct"/>
                    <w:tblCellSpacing w:w="0" w:type="dxa"/>
                    <w:tblBorders>
                      <w:bottom w:val="single" w:sz="8" w:space="0" w:color="EBEBEB"/>
                    </w:tblBorders>
                    <w:tblCellMar>
                      <w:left w:w="0" w:type="dxa"/>
                      <w:right w:w="0" w:type="dxa"/>
                    </w:tblCellMar>
                    <w:tblLook w:val="04A0"/>
                  </w:tblPr>
                  <w:tblGrid>
                    <w:gridCol w:w="2850"/>
                  </w:tblGrid>
                  <w:tr w:rsidR="0080677F" w:rsidRPr="0080677F" w:rsidTr="0080677F">
                    <w:trPr>
                      <w:tblCellSpacing w:w="0" w:type="dxa"/>
                    </w:trPr>
                    <w:tc>
                      <w:tcPr>
                        <w:tcW w:w="2850" w:type="dxa"/>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sz w:val="24"/>
                            <w:szCs w:val="24"/>
                            <w:lang w:val="de-DE" w:eastAsia="de-DE"/>
                          </w:rPr>
                          <w:t xml:space="preserve">24 Mars 2014 - 07:38 | </w:t>
                        </w:r>
                        <w:r w:rsidRPr="0080677F">
                          <w:rPr>
                            <w:rFonts w:ascii="Times New Roman" w:eastAsia="Times New Roman" w:hAnsi="Times New Roman" w:cs="Times New Roman"/>
                            <w:b/>
                            <w:bCs/>
                            <w:sz w:val="24"/>
                            <w:szCs w:val="24"/>
                            <w:lang w:val="de-DE" w:eastAsia="de-DE"/>
                          </w:rPr>
                          <w:t xml:space="preserve">LAJME </w:t>
                        </w:r>
                      </w:p>
                    </w:tc>
                  </w:tr>
                </w:tbl>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r w:rsidR="0080677F" w:rsidRPr="0080677F">
              <w:trPr>
                <w:trHeight w:val="225"/>
                <w:tblCellSpacing w:w="0" w:type="dxa"/>
              </w:trPr>
              <w:tc>
                <w:tcPr>
                  <w:tcW w:w="0" w:type="auto"/>
                  <w:vAlign w:val="center"/>
                  <w:hideMark/>
                </w:tcPr>
                <w:p w:rsidR="0080677F" w:rsidRPr="0080677F" w:rsidRDefault="0080677F" w:rsidP="0080677F">
                  <w:pPr>
                    <w:spacing w:after="0" w:line="225" w:lineRule="atLeast"/>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sz w:val="24"/>
                      <w:szCs w:val="24"/>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5pt;height:.95pt"/>
                    </w:pict>
                  </w:r>
                </w:p>
              </w:tc>
            </w:tr>
            <w:tr w:rsidR="0080677F" w:rsidRPr="0080677F">
              <w:trPr>
                <w:tblCellSpacing w:w="0" w:type="dxa"/>
              </w:trPr>
              <w:tc>
                <w:tcPr>
                  <w:tcW w:w="5000" w:type="pct"/>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it-IT" w:eastAsia="de-DE"/>
                    </w:rPr>
                  </w:pPr>
                  <w:r w:rsidRPr="0080677F">
                    <w:rPr>
                      <w:rFonts w:ascii="Times New Roman" w:eastAsia="Times New Roman" w:hAnsi="Times New Roman" w:cs="Times New Roman"/>
                      <w:sz w:val="24"/>
                      <w:szCs w:val="24"/>
                      <w:lang w:val="it-IT" w:eastAsia="de-DE"/>
                    </w:rPr>
                    <w:t>Mjaft me lodra mbi Amfiteatrin e Durrësit</w:t>
                  </w:r>
                </w:p>
              </w:tc>
            </w:tr>
            <w:tr w:rsidR="0080677F" w:rsidRPr="0080677F">
              <w:trPr>
                <w:trHeight w:val="30"/>
                <w:tblCellSpacing w:w="0" w:type="dxa"/>
              </w:trPr>
              <w:tc>
                <w:tcPr>
                  <w:tcW w:w="5000" w:type="pct"/>
                  <w:vAlign w:val="center"/>
                  <w:hideMark/>
                </w:tcPr>
                <w:p w:rsidR="0080677F" w:rsidRPr="0080677F" w:rsidRDefault="0080677F" w:rsidP="0080677F">
                  <w:pPr>
                    <w:spacing w:after="0" w:line="30" w:lineRule="atLeast"/>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sz w:val="24"/>
                      <w:szCs w:val="24"/>
                      <w:lang w:val="de-DE" w:eastAsia="de-DE"/>
                    </w:rPr>
                    <w:pict>
                      <v:shape id="_x0000_i1026" type="#_x0000_t75" alt="" style="width:.95pt;height:.95pt"/>
                    </w:pict>
                  </w:r>
                </w:p>
              </w:tc>
            </w:tr>
            <w:tr w:rsidR="0080677F" w:rsidRPr="0080677F">
              <w:trPr>
                <w:tblCellSpacing w:w="0" w:type="dxa"/>
              </w:trPr>
              <w:tc>
                <w:tcPr>
                  <w:tcW w:w="0" w:type="auto"/>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b/>
                      <w:bCs/>
                      <w:sz w:val="24"/>
                      <w:szCs w:val="24"/>
                      <w:lang w:val="de-DE" w:eastAsia="de-DE"/>
                    </w:rPr>
                    <w:t>Nga:</w:t>
                  </w:r>
                  <w:r w:rsidRPr="0080677F">
                    <w:rPr>
                      <w:rFonts w:ascii="Times New Roman" w:eastAsia="Times New Roman" w:hAnsi="Times New Roman" w:cs="Times New Roman"/>
                      <w:sz w:val="24"/>
                      <w:szCs w:val="24"/>
                      <w:lang w:val="de-DE" w:eastAsia="de-DE"/>
                    </w:rPr>
                    <w:t xml:space="preserve"> </w:t>
                  </w:r>
                  <w:r w:rsidRPr="0080677F">
                    <w:rPr>
                      <w:rFonts w:ascii="Times New Roman" w:eastAsia="Times New Roman" w:hAnsi="Times New Roman" w:cs="Times New Roman"/>
                      <w:i/>
                      <w:iCs/>
                      <w:sz w:val="24"/>
                      <w:szCs w:val="24"/>
                      <w:lang w:val="de-DE" w:eastAsia="de-DE"/>
                    </w:rPr>
                    <w:t>GJERGJ FRASHËRI</w:t>
                  </w:r>
                </w:p>
              </w:tc>
            </w:tr>
            <w:tr w:rsidR="0080677F" w:rsidRPr="0080677F">
              <w:trPr>
                <w:trHeight w:val="60"/>
                <w:tblCellSpacing w:w="0" w:type="dxa"/>
              </w:trPr>
              <w:tc>
                <w:tcPr>
                  <w:tcW w:w="0" w:type="auto"/>
                  <w:hideMark/>
                </w:tcPr>
                <w:p w:rsidR="0080677F" w:rsidRPr="0080677F" w:rsidRDefault="0080677F" w:rsidP="0080677F">
                  <w:pPr>
                    <w:spacing w:after="0" w:line="60" w:lineRule="atLeast"/>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sz w:val="24"/>
                      <w:szCs w:val="24"/>
                      <w:lang w:val="de-DE" w:eastAsia="de-DE"/>
                    </w:rPr>
                    <w:pict>
                      <v:shape id="_x0000_i1027" type="#_x0000_t75" alt="" style="width:.95pt;height:.95pt"/>
                    </w:pict>
                  </w:r>
                </w:p>
              </w:tc>
            </w:tr>
            <w:tr w:rsidR="0080677F" w:rsidRPr="0080677F">
              <w:trPr>
                <w:trHeight w:val="150"/>
                <w:tblCellSpacing w:w="0" w:type="dxa"/>
              </w:trPr>
              <w:tc>
                <w:tcPr>
                  <w:tcW w:w="0" w:type="auto"/>
                  <w:hideMark/>
                </w:tcPr>
                <w:p w:rsidR="0080677F" w:rsidRPr="0080677F" w:rsidRDefault="0080677F" w:rsidP="0080677F">
                  <w:pPr>
                    <w:spacing w:after="0" w:line="150" w:lineRule="atLeast"/>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sz w:val="24"/>
                      <w:szCs w:val="24"/>
                      <w:lang w:val="de-DE" w:eastAsia="de-DE"/>
                    </w:rPr>
                    <w:pict>
                      <v:shape id="_x0000_i1028" type="#_x0000_t75" alt="" style="width:.95pt;height:.95pt"/>
                    </w:pict>
                  </w:r>
                </w:p>
              </w:tc>
            </w:tr>
            <w:tr w:rsidR="0080677F" w:rsidRPr="0080677F">
              <w:trPr>
                <w:tblCellSpacing w:w="0" w:type="dxa"/>
              </w:trPr>
              <w:tc>
                <w:tcPr>
                  <w:tcW w:w="5000" w:type="pct"/>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2047875" cy="1619250"/>
                        <wp:effectExtent l="19050" t="0" r="9525" b="0"/>
                        <wp:wrapSquare wrapText="bothSides"/>
                        <wp:docPr id="14" name="Bild 2" descr="Mjaft me lodra mbi Amfiteatrin e Durrë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aft me lodra mbi Amfiteatrin e Durrësit"/>
                                <pic:cNvPicPr>
                                  <a:picLocks noChangeAspect="1" noChangeArrowheads="1"/>
                                </pic:cNvPicPr>
                              </pic:nvPicPr>
                              <pic:blipFill>
                                <a:blip r:embed="rId7" cstate="print"/>
                                <a:srcRect/>
                                <a:stretch>
                                  <a:fillRect/>
                                </a:stretch>
                              </pic:blipFill>
                              <pic:spPr bwMode="auto">
                                <a:xfrm>
                                  <a:off x="0" y="0"/>
                                  <a:ext cx="2047875" cy="1619250"/>
                                </a:xfrm>
                                <a:prstGeom prst="rect">
                                  <a:avLst/>
                                </a:prstGeom>
                                <a:noFill/>
                                <a:ln w="9525">
                                  <a:noFill/>
                                  <a:miter lim="800000"/>
                                  <a:headEnd/>
                                  <a:tailEnd/>
                                </a:ln>
                              </pic:spPr>
                            </pic:pic>
                          </a:graphicData>
                        </a:graphic>
                      </wp:anchor>
                    </w:drawing>
                  </w:r>
                  <w:r w:rsidRPr="0080677F">
                    <w:rPr>
                      <w:rFonts w:ascii="Times New Roman" w:eastAsia="Times New Roman" w:hAnsi="Times New Roman" w:cs="Times New Roman"/>
                      <w:b/>
                      <w:bCs/>
                      <w:sz w:val="24"/>
                      <w:szCs w:val="24"/>
                      <w:lang w:val="de-DE" w:eastAsia="de-DE"/>
                    </w:rPr>
                    <w:t>DURRES-</w:t>
                  </w:r>
                  <w:r w:rsidRPr="0080677F">
                    <w:rPr>
                      <w:rFonts w:ascii="Times New Roman" w:eastAsia="Times New Roman" w:hAnsi="Times New Roman" w:cs="Times New Roman"/>
                      <w:sz w:val="24"/>
                      <w:szCs w:val="24"/>
                      <w:lang w:val="de-DE" w:eastAsia="de-DE"/>
                    </w:rPr>
                    <w:t>Dëmet që po i shkaktojnë segmente arkeologësh dhe arkitektësh të huaj pasurisë arkeologjike dhe monumenteve madhore të kulturës në Shqipëri nuk kanë të ndalur. Natyrisht, këto dëme ata nuk i bëjnë vetëm, marrin edhe bashkëpunëtorë dhe bashkautorë shqiptarë (!), mbi të cilët shkarkojnë përgjegjësinë, pasi marrin gështenjat e pjekura nga zjarri. </w:t>
                  </w:r>
                  <w:r w:rsidRPr="0080677F">
                    <w:rPr>
                      <w:rFonts w:ascii="Times New Roman" w:eastAsia="Times New Roman" w:hAnsi="Times New Roman" w:cs="Times New Roman"/>
                      <w:sz w:val="24"/>
                      <w:szCs w:val="24"/>
                      <w:lang w:val="de-DE" w:eastAsia="de-DE"/>
                    </w:rPr>
                    <w:br/>
                  </w:r>
                  <w:r w:rsidRPr="0080677F">
                    <w:rPr>
                      <w:rFonts w:ascii="Times New Roman" w:eastAsia="Times New Roman" w:hAnsi="Times New Roman" w:cs="Times New Roman"/>
                      <w:sz w:val="24"/>
                      <w:szCs w:val="24"/>
                      <w:lang w:val="de-DE" w:eastAsia="de-DE"/>
                    </w:rPr>
                    <w:br/>
                    <w:t>Prej një interviste në gazetën 'Shqiptarja.com', dhënë nga arkeologia Lida Miraj me titull "Projekti italian përmbys historinë e Amfiteatrit të Durrësit" (Shqiptarja.com 26 shkurt 2014), mësohet, se më 25 shkurt 2014 në hapësirën e Muzeut Historik Kombëtar Tiranë (MHK) është çelur një ekspozitë me projekte italiane mbi disa vepra të trashëgimisë kulturore në Shqipëri, nën kujdesin e ambasadës italiane në Tiranë. Prej tyre ishte paraqitur edhe një "projekt" me titull "Të përmbysësh letrat: një projekt i ri për rifunksionimin e Amfiteatrit". </w:t>
                  </w:r>
                  <w:r w:rsidRPr="0080677F">
                    <w:rPr>
                      <w:rFonts w:ascii="Times New Roman" w:eastAsia="Times New Roman" w:hAnsi="Times New Roman" w:cs="Times New Roman"/>
                      <w:sz w:val="24"/>
                      <w:szCs w:val="24"/>
                      <w:lang w:val="de-DE" w:eastAsia="de-DE"/>
                    </w:rPr>
                    <w:br/>
                  </w:r>
                  <w:r w:rsidRPr="0080677F">
                    <w:rPr>
                      <w:rFonts w:ascii="Times New Roman" w:eastAsia="Times New Roman" w:hAnsi="Times New Roman" w:cs="Times New Roman"/>
                      <w:sz w:val="24"/>
                      <w:szCs w:val="24"/>
                      <w:lang w:val="de-DE" w:eastAsia="de-DE"/>
                    </w:rPr>
                    <w:br/>
                    <w:t>Projekti parashikon ndërtimin e një teatri të ri me materiale moderne brenda hapësirës së arenës së Amfiteatrit të Durrësit (po aty). "Përmbysje të tillë letrash", domethënë ndërtime teatrosh të reja në zemrën e amfiteatrove antikë, që janë shpallur monumente kulture është vështirë të gjendet diku. Madje, një ndërhyrje të tillë nuk kam parë të jetë realizuar në ndonjë nga amfiteatrot antikë të Italisë, të cilat i kam vizituar me syrin e profesionit pothuajse shumicën e atyre që janë të shikueshëm mbi tokë - 54 syresh që ndodhen mbi Gadishullin italian, 3 syresh në Siçili dhe një në Sardenjë. Ç'është atëherë ky projekt italianësh që zbarkon në Durrës për të "përmbysur letrat" e Amfiteatrit antik në tokën tonë? Si shumë shtëllunga tymi politik e kanë rrethuar të vetmin amfiteatër që trashëgojmë anembanë trojeve shqiptare. </w:t>
                  </w:r>
                  <w:r w:rsidRPr="0080677F">
                    <w:rPr>
                      <w:rFonts w:ascii="Times New Roman" w:eastAsia="Times New Roman" w:hAnsi="Times New Roman" w:cs="Times New Roman"/>
                      <w:sz w:val="24"/>
                      <w:szCs w:val="24"/>
                      <w:lang w:val="de-DE" w:eastAsia="de-DE"/>
                    </w:rPr>
                    <w:br/>
                  </w:r>
                  <w:r w:rsidRPr="0080677F">
                    <w:rPr>
                      <w:rFonts w:ascii="Times New Roman" w:eastAsia="Times New Roman" w:hAnsi="Times New Roman" w:cs="Times New Roman"/>
                      <w:sz w:val="24"/>
                      <w:szCs w:val="24"/>
                      <w:lang w:val="de-DE" w:eastAsia="de-DE"/>
                    </w:rPr>
                    <w:br/>
                    <w:t xml:space="preserve">1. Pas gërmimeve të kundraligjshme me pasoja dhunimi të pasurisë arkeologjike të nëntokës në Akropolin e Lezhës të kryera nga Shkolla Franceze e Romës (Kasapë me hanxharë në dorë mbi Kalanë e Lezhës, gaz. Shqiptarja. com 7 mars 2014) dhe gërmimeve dhunuese të Teatrit të Apolonisë nga Instituti Gjerman i Romës (Apolonia, një nekrologji në Ditën e Trashëgimisë, gaz. Shqiptarja. com 23 prill 2013), tashmë një grupim tjetër me arkeologë dhe arkitektë nga tri universitete italiane, Politeknikumit të Barit, Universitetit të Parmës dhe të Chieti-Pescarës, kanë marrë guximin të ndërtojnë një objekt të ri në zemrën e Amfiteatrit të Durrësit, pra të ndërtojnë brenda monumentit antik, një qenie ndërtimore-arkitektonike, që nuk ka ekzistuar kurrë deri më sot. Kësaj radhe shkolla italiane ka marrë kurajën të tjetërsojë autenticitetin e Amfiteatrit të Durrësit si dokument historik, duke ndërtuar në barkun e tij një teatër të ri butaforik. Me këtë ndërhyrje, i vetëquajturi Mision Arkeologjik Italian në Durrës synon tashmë hapur të monopolizojë të drejtën e autorësisë (privatësisë) mbi monumentin dhe të bllokojë restaurimin e amfiteatrit në të ardhmen nga </w:t>
                  </w:r>
                  <w:r w:rsidRPr="0080677F">
                    <w:rPr>
                      <w:rFonts w:ascii="Times New Roman" w:eastAsia="Times New Roman" w:hAnsi="Times New Roman" w:cs="Times New Roman"/>
                      <w:sz w:val="24"/>
                      <w:szCs w:val="24"/>
                      <w:lang w:val="de-DE" w:eastAsia="de-DE"/>
                    </w:rPr>
                    <w:lastRenderedPageBreak/>
                    <w:t>institucionet dhe specialistët shqiptarë. </w:t>
                  </w:r>
                  <w:r w:rsidRPr="0080677F">
                    <w:rPr>
                      <w:rFonts w:ascii="Times New Roman" w:eastAsia="Times New Roman" w:hAnsi="Times New Roman" w:cs="Times New Roman"/>
                      <w:sz w:val="24"/>
                      <w:szCs w:val="24"/>
                      <w:lang w:val="de-DE" w:eastAsia="de-DE"/>
                    </w:rPr>
                    <w:br/>
                  </w:r>
                  <w:r w:rsidRPr="0080677F">
                    <w:rPr>
                      <w:rFonts w:ascii="Times New Roman" w:eastAsia="Times New Roman" w:hAnsi="Times New Roman" w:cs="Times New Roman"/>
                      <w:sz w:val="24"/>
                      <w:szCs w:val="24"/>
                      <w:lang w:val="de-DE" w:eastAsia="de-DE"/>
                    </w:rPr>
                    <w:br/>
                    <w:t>Kjo orvatje e projektit italian është kundërshtuar qysh në momentin e parë të paraqitjes së tij më datën 25 shkurt në mjedisin e MHK nga një arkeologe shqiptare, e cila mjerisht duket se ka qenë e vetmja studiuese vendase e monumentit e ftuar në këtë sallë. Sipas intervistës së sipërpërmendur, arkeologia Miraj ka mbrojtur konceptin shkencor realist, se çfarëdo ndërtimi i ri brenda hapësirës së Amfiteatrit është një falsifikim dokumentar historik. Ky koncept gjen edhe mbështetjen tonë. </w:t>
                  </w:r>
                  <w:r w:rsidRPr="0080677F">
                    <w:rPr>
                      <w:rFonts w:ascii="Times New Roman" w:eastAsia="Times New Roman" w:hAnsi="Times New Roman" w:cs="Times New Roman"/>
                      <w:sz w:val="24"/>
                      <w:szCs w:val="24"/>
                      <w:lang w:val="de-DE" w:eastAsia="de-DE"/>
                    </w:rPr>
                    <w:br/>
                  </w:r>
                  <w:r w:rsidRPr="0080677F">
                    <w:rPr>
                      <w:rFonts w:ascii="Times New Roman" w:eastAsia="Times New Roman" w:hAnsi="Times New Roman" w:cs="Times New Roman"/>
                      <w:sz w:val="24"/>
                      <w:szCs w:val="24"/>
                      <w:lang w:val="de-DE" w:eastAsia="de-DE"/>
                    </w:rPr>
                    <w:br/>
                    <w:t xml:space="preserve">Projekti "avanguard" i tri universiteteve italiane të lartpërmendur bie ndesh edhe me projekte të tjera vlerësimi të Amfiteatrit të Durrësit, të paraqitura nga profesionistë shqiptarë në vitet e fundit. Një prej tyre është masterplani i fondacionit "Qendra Frashëri" në Tiranë, me titull "Projekt Restaurimi i Amfiteatrit të Durrësit për qëllime muzeore dhe vënien në përdorim pjesor si vend shfaqjeje". </w:t>
                  </w:r>
                  <w:r w:rsidRPr="0080677F">
                    <w:rPr>
                      <w:rFonts w:ascii="Times New Roman" w:eastAsia="Times New Roman" w:hAnsi="Times New Roman" w:cs="Times New Roman"/>
                      <w:sz w:val="24"/>
                      <w:szCs w:val="24"/>
                      <w:lang w:val="it-IT" w:eastAsia="de-DE"/>
                    </w:rPr>
                    <w:t>Ai është miratuar nga Ministria e Kulturës me vendimin Nr. 60 datë 18. 03. 2010 në vleftën prej 6,5 milionë euro, mbas shqyrtimit në dy këshillat kombëtarë të saj, ai i Arkeologjisë (KKA) dhe ai i Restaurimit (KKR). Ky projekt synon thjesht në restaurimin e Amfiteatrit me besnikëri shkencore si dokument historik. Përdorimi apo "rifunksionimi" pjesor i tij në ditët e sotme kushtëzohet vetëm nga restaurimi i tij.</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 Deri sa të sigurohen mjetet financiare për këtë sipërmarrje, monumenti duhet vetëm të ruhet dhe të mirëmbahet, pa shtesa të reja apo lodra mbi hapësirën e tij. Ky nuk është një qëndrim konservativ siç i intereson ta etiketojë ndonjë "specialist" i huaj, por një koncept klasik në përputhje me udhëzimet dhe rregullat zyrtare ndërkombëtare dhe kombëtare të ruajtjes së monumenteve të kulturës. Ai që i ka parë amfiteatrot antikë në Itali, ka mësuar se edhe vetë italianët i kanë respektuar me korrektesë këto udhëzime klasike për vlerësimin e tyre. Janë ata në radhën e parë që kanë luftuar gjatë historisë për ta sjellë këtë ligjshmëri mbrojtëse klasike. Përse atëherë, ata i shkelin këto principe në vlerësimin e të vetmit amfiteatër antik në Shqipëri?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2. Në përgjigje të intervistës së arkeologes Miraj vjen më 04.03.2014 një shkrim në faqet e së njëjtës gazetë nga arkeologia italiane Sara Santoro, me titull "Ja ku gabon Lida Miraj". Mjerisht nuk kemi të bëjmë me një përgjigje të argumentuar të arkeologes italiane, por më tepër një reagim të nervozuar të papërshtatshëm prej saj. Teza e Mirajt, që Amfiteatri i Durrësit është një monument dhe duhet të prezantohet gjithnjë si një monument, domethënë brenda hapësirës së tij nuk duhet të bëhen ndërtime të reja në emër të rifunksionimit të tij për qëllime të ditës, është një tezë klasike e përkrahur nga udhëzimet evropiane të qëndrueshme.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 xml:space="preserve">Arsyeja e përdorur nga arkeologia Santoro, se "ne na ishte kërkuar nga autoritetet shqiptare të paraqisnim propozime për rifunksionimin e amfiteatrit" (po aty) është një spekulim i mjegullt profesional. Askush nuk e detyron një profesionist të hartojë një projekt mbi rifunksionimin e amfiteatrit antik, duke shkelur kriteret e restaurimit. Kërkesa për shfrytëzimin e çdo monumenti për qëllime dhe përfitime turistike është një kërkesë bashkëkohore, por gjithnjë brenda kufijve të vlerësimit restaurues të monumentit të kulturës. </w:t>
                  </w:r>
                  <w:r w:rsidRPr="0080677F">
                    <w:rPr>
                      <w:rFonts w:ascii="Times New Roman" w:eastAsia="Times New Roman" w:hAnsi="Times New Roman" w:cs="Times New Roman"/>
                      <w:sz w:val="24"/>
                      <w:szCs w:val="24"/>
                      <w:lang w:val="it-IT" w:eastAsia="de-DE"/>
                    </w:rPr>
                    <w:br/>
                    <w:t xml:space="preserve">* * *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lastRenderedPageBreak/>
                    <w:t>Interesant të mësohet, se cilët janë këto "autoritete shqiptare" që kërkojnë ta rifunksionojnë Amfiteatrin e Durrësit me çdo kusht nga dora e specialistëve italianë dhe jo atyre shqiptarë? Nëqoftëse ka autoritete qeveritare anembanë Evropës që nuk kanë interes të dëgjojnë, se çfarë quhet monument kulture dhe se si shoqëria duhet të sillet, t'i respektojë dhe t'i ruajë ato me besnikërinë dokumentare dhe funksionale për të nxjerrë edhe përfitime ekonomike të qëndrueshme për shoqërinë, janë pa përjashtim qeveritë e Shqipërisë mbas vitit 1992. Veçanërisht turni i parafundit qeveritar jo vetëm e shpartalloi detyrimin ligjor dhe institucional të shtetit në mbrojtjen e trashëgimisë kulturore, por nxiti si asnjëherë më parë grabitjen dhe trafikimin e veprave të saj.</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 Ajo u përkujdes për monumentet dhe pasurinë arkeologjike të këtij vendi vetëm për t'i privatizuar ato, se kujt do t'ia jepte ato me qira që të përfitonte vetë, kush do të ishte partneri (klienti) që do t'ia besonte projektet dhe tenderat dhe si të bënte ndonjë lek duke i shitur ato si plaçkat nëpër tezgat e pazarit, natyrisht pa lënë gjurmë. Qeveria e sotme në detyrë u zotua se do t'i ndëshkonte matrapazët. Në vend të saj, pa mbushur 6 muaj ajo e thelloi më tej masakrën mbi trashëgiminë kulturore, duke sterilizuar si asnjëherë më parë në historinë e Shqipërisë së pavarur, kualitetin profesional të kësaj veprimtarie dhe duke paralizuar reformat në këtë lëmë.</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 xml:space="preserve">Është e nevojshme të dëgjonim nga zonja Santoro, se kush konkretisht janë këto "autoritete shqiptare" që i kanë dhënë asaj direktivat për projektin e Amfiteatrit të Durrësit? Sepse për "autoritete shqiptare" këtu e mbajnë veten dhe disa syresh të "shoqnisë" së kryeministrit, disa mëkatarë të bashkuar rreth të ashtuquajturit Forum të Trashëgimisë Kulturore, për të cilët dihet që punojnë me zell për interesat e fqinjëve përtej detit. </w:t>
                  </w:r>
                  <w:r w:rsidRPr="0080677F">
                    <w:rPr>
                      <w:rFonts w:ascii="Times New Roman" w:eastAsia="Times New Roman" w:hAnsi="Times New Roman" w:cs="Times New Roman"/>
                      <w:sz w:val="24"/>
                      <w:szCs w:val="24"/>
                      <w:lang w:val="it-IT" w:eastAsia="de-DE"/>
                    </w:rPr>
                    <w:br/>
                    <w:t xml:space="preserve">* * * </w:t>
                  </w:r>
                  <w:r w:rsidRPr="0080677F">
                    <w:rPr>
                      <w:rFonts w:ascii="Times New Roman" w:eastAsia="Times New Roman" w:hAnsi="Times New Roman" w:cs="Times New Roman"/>
                      <w:sz w:val="24"/>
                      <w:szCs w:val="24"/>
                      <w:lang w:val="it-IT" w:eastAsia="de-DE"/>
                    </w:rPr>
                    <w:br/>
                    <w:t>Më vjen mirë të dëgjoj nga zonja Santoro për krenarinë e saj, që "shkolla italiane e restaurimit i ka mësuar gjithë botës" (po aty). Nuk ka dyshim për këtë. Kultura italiane, pas asaj shqiptare, ka qenë dominuese edhe në mjedisin tim familjar. Për hir të profesionit m'është dashur pareshtur t'i bija kryq e tërthor Italisë arkeologjike dhe monumenteve të restauruara të saj. Jam ndjerë krenar dhe mirënjohës për ato që kam mësuar nga shkolla italiane në profesionin tim kudo që kam punuar.</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 xml:space="preserve"> Atje jam bindur, se arkeologët seriozë të shkollës italiane nuk zbatojnë dëshira qeverish, duke u bërë bashkautorë në shpërfytyrimin (deformimin) e monumentit si dokument historik. Përkundrazi, ata u mësojnë qeverive të korruptuara (afërsisht si këto të Shqipërisë), se si nuk duhet t'i shpërdorojnë monumentet me rrezatim kulturor ndërkombëtar, si për shembull Amfiteatrin e Durrësit në Shqipëri. Por të mos harrojmë, se përkrah shkollës klasike italiane me famë botërore për restaurimin me besnikëri shkencore të monumentit si dokument historik, ka edhe një shkollë tjetër italiane paralele, po aq e famshme në të gjithë botën, me përvojën e manipulimit të vlerave të monumenteve dhe e grabitjes së pasurive arkeologjike. Kemi të drejtë përherë të pyesim, pa akuzuar askënd, se specialistët e cilës prej këtyre dy shkollave italiane operojnë prej vitesh në Durrës? </w:t>
                  </w:r>
                  <w:r w:rsidRPr="0080677F">
                    <w:rPr>
                      <w:rFonts w:ascii="Times New Roman" w:eastAsia="Times New Roman" w:hAnsi="Times New Roman" w:cs="Times New Roman"/>
                      <w:sz w:val="24"/>
                      <w:szCs w:val="24"/>
                      <w:lang w:val="it-IT" w:eastAsia="de-DE"/>
                    </w:rPr>
                    <w:br/>
                    <w:t xml:space="preserve">* * * </w:t>
                  </w:r>
                  <w:r w:rsidRPr="0080677F">
                    <w:rPr>
                      <w:rFonts w:ascii="Times New Roman" w:eastAsia="Times New Roman" w:hAnsi="Times New Roman" w:cs="Times New Roman"/>
                      <w:sz w:val="24"/>
                      <w:szCs w:val="24"/>
                      <w:lang w:val="it-IT" w:eastAsia="de-DE"/>
                    </w:rPr>
                    <w:br/>
                    <w:t xml:space="preserve">Siç e thamë, të tërheq vëmendjen fakti se receta italiane e këshilluar për rifunksionimin e amfiteatrit të Durrësit jo nëpërmjet rrugës së restaurimit të tij, </w:t>
                  </w:r>
                  <w:r w:rsidRPr="0080677F">
                    <w:rPr>
                      <w:rFonts w:ascii="Times New Roman" w:eastAsia="Times New Roman" w:hAnsi="Times New Roman" w:cs="Times New Roman"/>
                      <w:sz w:val="24"/>
                      <w:szCs w:val="24"/>
                      <w:lang w:val="it-IT" w:eastAsia="de-DE"/>
                    </w:rPr>
                    <w:lastRenderedPageBreak/>
                    <w:t>por nëpërmjet ndërhyrjes me ndërtim të ri në arenën e tij, është një koncept i pazbatuar në ndonjë nga amfiteatrot e Italisë. Bëhet për fjalë për rreth 63 amfiteatro që janë të vizitueshëm apo të arritshëm nga 94 syresh që figurojnë teorikisht të regjistruar si të tillë brenda kufijve të Italisë (rreth 20 prej tyre janë të paidentifikuar dhe rreth 11 të tjerë janë ndërtesa me planimetri të mbyllur rrethore të cilësuara gabim si amfiteatro, të tilla si ajo në Capena-Colonia Julia Felix Lucus Feroniae).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Asnjë prej këtyre 63 amfiteatrove nuk është bërë deri sot viktimë e recetës italiane të "rifunksionimit" të propozuar për Amfiteatrin e Durrësit. Ndoshta në Shqipëri është ideja se këto 63 amfiteatro janë të gjithë të restauruar dhe të vizitueshëm si Coloseum-i apo Amfiteatri i Capua-s. Përkundrazi, mjaft prej tyre janë të pavizitueshëm dhe në gjendje të mjeruar si Amfiteatri në qendër të qytetit të Ternit, disa të tjerë vetëm të rrethuar me rrjetë gabion si mjedise të pazbuluara apo pjesërisht me rrënoja të dala nga gërmimi prej vitesh dhe të pakonservuara të tilla si Amfiteatri i Telesia-s (San Salvatore Telesino), apo të tjerë të braktisur, që ndodhen krejtësisht nën pemët apo shkurret si Amfiteatri i Cales (Calvi Risorta) apo si ai i Ordona-s (Herdoniae).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Vjen pyetja, përse atëherë eksperimentohet kjo recetë e posaçme italiane mbi të vetmin amfiteatër antik që ka Shqipëria anembanë trojeve të veta? Përse shteti italian nuk "i përmbys letrat", duke investuar në restaurimin apo "rifunksionimin" e atyre amfiteatrove që i ka lënë djerrë anembanë vendit të vet? Përse duhet të dërgohen atëherë misione nga Ministria e Jashtme italiane për të përmbysur letrat e Amfiteatrit të vetëm antik në Shqipëri? Në këtë mes të bën përshtypje, se si Qeveria shqiptare e përçmon kontributin e misioneve vendase, të cilët bashkërisht kanë investuar deri sot për fëmijën e vetëm të shtëpisë së tyre, shumë më tepër se sa Ministria e Jashtme italiane, qysh prej viteve '60, qëkurse Amfiteatri i Durrësit doli në dritë për herë të parë nga arkeologët shqiptarë.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3. Kësaj radhe Zonja Santoro nuk ka munguar të nxjerrë edhe bllokun e hesapeve. Me një pozicionin dhe ton të papërshtatshëm si drejtoreshë e Misionit Arkeologjik Italian në Durrës !), kërkon të përplasë në fytyrë, se sa harxhime ka bërë Ministria e Jashtme italiane dhe disa institucione të tjera italiane për kërkimet shkencore në Amfiteatrin e Durrësit qysh prej vitit 2001. Sipas saj, "e gjithë masa e madhe e punës në lidhje me dokumentacionin dhe kërkimet shkencore gjatë 10 viteve të veprimtarisë së Misionit është financuar tërësisht nga Ministria e Punëve të Jashtme italiane dhe Ministria e Universiteteve dhe Kërkimit Shkencor (prej një shume të përgjithshme rreth 100,000 €) si dhe nga dy universitetet, ai i Parmës dhe ai i Chieti- Pescara-s, titullarë të Misionit (me një shumë të barabartë)" (po aty).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 xml:space="preserve">Pra, pohohet se ky mision nuk ka bërë restaurime, por vetëm gërmime dhe dokumentacion. Pyesim, cilin ka paguar Misioni italian me këto para? Përgjigjen e jep më poshtë vetë zonja Santoro. "Vlera e kësaj pune - sqaron ajo - dhuruar nga italianët miqve shqiptarë për hir të dashurisë ndaj kulturës që ndajmë, në qoftë se do t'u ishte dhënë profesionistëve të lirë të tillë si Dr. Miraj, do të kishte kushtuar së paku 600.000 €". Del qartë, se me këto para të dhëna nga shteti italian janë paguar vetë italianët që kanë punuar për kërkimet shkencore. (Shpresojmë se këto para nuk kanë shkruar në Bruksel si borxhe të Shqipërisë ndaj Komunitetit Evropian!).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lastRenderedPageBreak/>
                    <w:t xml:space="preserve">* * * </w:t>
                  </w:r>
                  <w:r w:rsidRPr="0080677F">
                    <w:rPr>
                      <w:rFonts w:ascii="Times New Roman" w:eastAsia="Times New Roman" w:hAnsi="Times New Roman" w:cs="Times New Roman"/>
                      <w:sz w:val="24"/>
                      <w:szCs w:val="24"/>
                      <w:lang w:val="it-IT" w:eastAsia="de-DE"/>
                    </w:rPr>
                    <w:br/>
                    <w:t xml:space="preserve">Prej tonit me doza arrogance të kësaj akuze në gojën e drejtoreshës së misionit në fjalë, të duket për një çast sikur Amfiteatri i Durrësit është shpallur fëmija e adaptuar e Ministrisë së Jashtme italiane, ose së fundi u është premtuar se do t'u jepet me një euro qira, koncesion (pse jo edhe në pronësi). Madje, për kujdesin e këtij fëmije ka zbarkuar në Durrës një mision i posaçëm arkeologjik italian, i cili e paska mbrojtur Amfiteatrin e Durrësit në vitet 2001-2014! Këtu është rasti t'u kujtoj kolegëve italianë, se po e teprojnë pak si tepër me vetëkomplimentet politike mbi "kujdesin" e "shpenzimet" e tyre për "mbrojtjen" e Amfiteatrit të Durrësit si monument kulture për periudhën në fjalë. Siç e kam denoncuar edhe në Simpoziumin e 14-të të Këshillit Europian të Arkeologjisë (EAC) më 21-22 mars 2013( Masakrimi i trashëgimisë kulturore shqiptare, 'Gaz. Shqiptare' 7 prill 2013, f.22-24) dhe posaçërisht në Konferencën Vjetore e 19-të e Shoqatës Europiane të Arkeologëve (EAA) në Pilsen të Çekisë më 4-8 shtator 2013 (Alarm për ruajtjen e nëntokës arkeologjike të Durrësit, 'Gaz. Shqiptare' 23 shtator 2013, f. 18-19), gërmimet e ekspeditave italiane në Amfiteatrin e Durrësit përbëjnë një shembull tipik të dëmtimit të monumentit nga ekspeditat e huaja arkeologjike në Shqipëri. Ato janë gërmime pa qëllime restaurimi dhe janë kryer vetëm në interesin e palës italiane, madje pa të drejtën ligjore shtetërore në përputhje me udhëzimet evropiane të Valletta-s (1992). Substanca arkeologjike in situ që ka dalë dhjetë vjet rresht nga gërmimet e ekspeditës italiane në pjesën jugore të Amfiteatrit të Durrësit përbën sot një gropë me rrënoja arkeologjike të pakonservuara dhe të paraqitura pa asnjë domethënie e tërheqësi turistike. Në sytë e specialistëve bashkëkohorë evropianë të fushës, ato tregojnë se sa pa sens dhe pa perspektivë kanë punuar ekspeditat italiane në Amfiteatrin e Durrësit, për ta shkatërruar atë sistematikisht, në vend ta ruajnë pa e prekur, kur nuk janë në gjendje ta mbrojnë nëpërmjet restaurimit pjesë-pjesë të tij. </w:t>
                  </w:r>
                  <w:r w:rsidRPr="0080677F">
                    <w:rPr>
                      <w:rFonts w:ascii="Times New Roman" w:eastAsia="Times New Roman" w:hAnsi="Times New Roman" w:cs="Times New Roman"/>
                      <w:sz w:val="24"/>
                      <w:szCs w:val="24"/>
                      <w:lang w:val="it-IT" w:eastAsia="de-DE"/>
                    </w:rPr>
                    <w:br/>
                    <w:t xml:space="preserve">4. Ajo që të tërheq në veçanti vëmendjen ishte se zonja Santoro e ka veshur përgjigjen e saj cinike ndaj zonjës Miraj, me statusin e drejtoreshës së Misionit Arkeologjik Italian në Durrës (!). Të them të drejtën, është hera e parë që po dëgjoj se në Durrës ekziston një Mision Arkeologjik Italian, i cili punon posaçërisht për Durrësin qysh prej viti 2001. Ç'është ky mision? Cili është statusi i tij ligjor? Ku i merr lejet për gërmime ky mision në Shqipëri? </w:t>
                  </w:r>
                  <w:r w:rsidRPr="0080677F">
                    <w:rPr>
                      <w:rFonts w:ascii="Times New Roman" w:eastAsia="Times New Roman" w:hAnsi="Times New Roman" w:cs="Times New Roman"/>
                      <w:sz w:val="24"/>
                      <w:szCs w:val="24"/>
                      <w:lang w:val="it-IT" w:eastAsia="de-DE"/>
                    </w:rPr>
                    <w:br/>
                    <w:t xml:space="preserve">* * * </w:t>
                  </w:r>
                  <w:r w:rsidRPr="0080677F">
                    <w:rPr>
                      <w:rFonts w:ascii="Times New Roman" w:eastAsia="Times New Roman" w:hAnsi="Times New Roman" w:cs="Times New Roman"/>
                      <w:sz w:val="24"/>
                      <w:szCs w:val="24"/>
                      <w:lang w:val="it-IT" w:eastAsia="de-DE"/>
                    </w:rPr>
                    <w:br/>
                    <w:t>Në faqet e internetit nuk e gjeta atë të regjistruar as në listën e OJF-ve, as edhe në atë të QKR-së. Nuk gjeta as edhe faqe zyrtare të paraqitjes së këtij misioni. Normalisht nuk lejohet të ushtrohet veprimtari financiare në Shqipëri pa status ligjor, ashtu si edhe në Itali shqiptarët nuk lejohen të bëjnë një gjë të tillë. Por sot e kemi fjalën për aktivitetin e misionit, i cili siç mësohet në katalogun e ekspozitës në fjalë me titull "Kërkime italiane për trashëgiminë arkeologjike dhe monumentale të Shqipërisë" (shkurt 2014, f. 15-17), udhëheq prej vitit 2001, fillimisht me Universitetin e Parmës, një projekt bashkëpunimi me mbështetje teknike e shkencore në shpëtimin e pasurisë arkeologjike të Durrësit. Është shumë interesante që harku kohor i këtij aktiviteti italian koincidon plotësisht me periudhën 2001-2014, me etapën e masakrës së pashembullt ndaj pasurisë arkeologjike të nëntokës së Durrësit, si kurrë më parë në historinë e kohës së re të këtij qyteti me vlera botërore historike. Sipas moralit bashkëkohor, të gjithë ata që janë gjendur përpara vendit janë përgjegjës për këtë shkatërrim historik, që ka ndodhur me vite para syve të tyre.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it-IT" w:eastAsia="de-DE"/>
                    </w:rPr>
                    <w:br/>
                    <w:t xml:space="preserve">Aq më tepër kur e gjitha ka ndodhur para syve të specialistëve italianë të </w:t>
                  </w:r>
                  <w:r w:rsidRPr="0080677F">
                    <w:rPr>
                      <w:rFonts w:ascii="Times New Roman" w:eastAsia="Times New Roman" w:hAnsi="Times New Roman" w:cs="Times New Roman"/>
                      <w:sz w:val="24"/>
                      <w:szCs w:val="24"/>
                      <w:lang w:val="it-IT" w:eastAsia="de-DE"/>
                    </w:rPr>
                    <w:lastRenderedPageBreak/>
                    <w:t xml:space="preserve">arkeologjisë dhe të monumenteve, të cilët qenkan rreshtuar prej kohësh nën një mision për shpëtimin e pasurisë arkeologjike të Durrësit. Prej vitesh nuk është dëgjuar apo ndjerë që ky mision arkeologjik italian të ketë ngritur zërin dhe t'i ketë hequr vërejtje Qeverive shqiptare për ndalimin e masakrës së periudhës 2001-2014 nga vrulli ndërtimor pa kriter dhe nga trafikimet e pashembullta të veprave arkeologjike. Nuk kanë mjaftuar vetëm dëmet nga ndërtimet e reja në zonën A dhe B të Durrësit, por dhunohet nëntoka arkeologjike edhe me gërmime në sipërfaqe, të cilat nuk rrezikohen nga ndërtimet e reja-siç është rasti i Amfiteatrit të Durrësit - vetëm për qëllime luksoze "shkencore" dhe për stërvitjen e studentëve të huaj. Përkarshi këtij rezultati duket disi qesharak, që një mision i edukuar profesionalisht në Perëndim t'i bjerë gjoksit për të kërkuar medalje heroizmi në ruajtjen dhe mbrojtjen e pasurisë arkeologjike dhe të monumenteve të kulturës në Durrës dhe për "përmbysje letrash" në Amfiteatrin e Durrësit, siç kërkohet të njihen sukseset e kërkimeve të "misionarëve" italianë të mbështetura nga Ministria e Jashtme e tyre. Rezulton mjerisht që entuziazmi i këtij misioni italian të jetë rritur në kohë proporcionalisht me shkatërrimin e pasurisë arkeologjike të Durrësit dhe paralelisht me rritjen e përçmimit të qeverive të këtij vendi ndaj atyre profesionistëve restauratorë e arkeologë shqiptarë, të aftë për të realizuar vepra të nivelit ndërkombëtar. Tashmë kjo nuk duket të jetë pa lidhje prej strategjisë së bashkëpunimit të tyre me "partnerët" e huaj në shitjen sistematike të pasurisë kombëtare të kësaj Republike, më e rrudhura në Evropë. </w:t>
                  </w:r>
                  <w:r w:rsidRPr="0080677F">
                    <w:rPr>
                      <w:rFonts w:ascii="Times New Roman" w:eastAsia="Times New Roman" w:hAnsi="Times New Roman" w:cs="Times New Roman"/>
                      <w:sz w:val="24"/>
                      <w:szCs w:val="24"/>
                      <w:lang w:val="it-IT" w:eastAsia="de-DE"/>
                    </w:rPr>
                    <w:br/>
                    <w:t xml:space="preserve">* * * </w:t>
                  </w:r>
                  <w:r w:rsidRPr="0080677F">
                    <w:rPr>
                      <w:rFonts w:ascii="Times New Roman" w:eastAsia="Times New Roman" w:hAnsi="Times New Roman" w:cs="Times New Roman"/>
                      <w:sz w:val="24"/>
                      <w:szCs w:val="24"/>
                      <w:lang w:val="it-IT" w:eastAsia="de-DE"/>
                    </w:rPr>
                    <w:br/>
                    <w:t xml:space="preserve">Nuk duhet të harrojmë para së gjithash përvojën evropiane, se turizmi kulturor që po dëgjohet të flitet lart e poshtë në ekranet tona, nuk bëhet me mendje dhe duart e fqinjëve. E thënë me realizëm, është e qartë se fqinjët nuk kanë interes që trashëgimia kulturore e vendit pranë të konkurrojë trashëgiminë e tyre, sepse kjo sjell rrjedhimisht konkurrencën në tregun turistik. Kjo është e vlefshme edhe për trashëgiminë kulturore në Shqipëri, e cila mund të bëhet konkurrente në industrinë turistike të Adriatikut, nëse drejtohet nga mendja dhe puna e vendasve - por mund të mos bëhet asnjëherë po ta drejtojnë dhe ta kenë në dorë fqinjët. </w:t>
                  </w:r>
                  <w:r w:rsidRPr="0080677F">
                    <w:rPr>
                      <w:rFonts w:ascii="Times New Roman" w:eastAsia="Times New Roman" w:hAnsi="Times New Roman" w:cs="Times New Roman"/>
                      <w:sz w:val="24"/>
                      <w:szCs w:val="24"/>
                      <w:lang w:val="it-IT" w:eastAsia="de-DE"/>
                    </w:rPr>
                    <w:br/>
                  </w:r>
                  <w:r w:rsidRPr="0080677F">
                    <w:rPr>
                      <w:rFonts w:ascii="Times New Roman" w:eastAsia="Times New Roman" w:hAnsi="Times New Roman" w:cs="Times New Roman"/>
                      <w:sz w:val="24"/>
                      <w:szCs w:val="24"/>
                      <w:lang w:val="de-DE" w:eastAsia="de-DE"/>
                    </w:rPr>
                    <w:t>* Arkeolog dhe restaurator</w:t>
                  </w:r>
                  <w:r w:rsidRPr="0080677F">
                    <w:rPr>
                      <w:rFonts w:ascii="Times New Roman" w:eastAsia="Times New Roman" w:hAnsi="Times New Roman" w:cs="Times New Roman"/>
                      <w:sz w:val="24"/>
                      <w:szCs w:val="24"/>
                      <w:lang w:val="de-DE" w:eastAsia="de-DE"/>
                    </w:rPr>
                    <w:br/>
                    <w:t> </w:t>
                  </w:r>
                  <w:r w:rsidRPr="0080677F">
                    <w:rPr>
                      <w:rFonts w:ascii="Times New Roman" w:eastAsia="Times New Roman" w:hAnsi="Times New Roman" w:cs="Times New Roman"/>
                      <w:sz w:val="24"/>
                      <w:szCs w:val="24"/>
                      <w:lang w:val="de-DE" w:eastAsia="de-DE"/>
                    </w:rPr>
                    <w:br/>
                    <w:t>Tiranë, 23.03.2014</w:t>
                  </w:r>
                  <w:r w:rsidRPr="0080677F">
                    <w:rPr>
                      <w:rFonts w:ascii="Times New Roman" w:eastAsia="Times New Roman" w:hAnsi="Times New Roman" w:cs="Times New Roman"/>
                      <w:sz w:val="24"/>
                      <w:szCs w:val="24"/>
                      <w:lang w:val="de-DE" w:eastAsia="de-DE"/>
                    </w:rPr>
                    <w:br/>
                  </w:r>
                  <w:r w:rsidRPr="0080677F">
                    <w:rPr>
                      <w:rFonts w:ascii="Times New Roman" w:eastAsia="Times New Roman" w:hAnsi="Times New Roman" w:cs="Times New Roman"/>
                      <w:sz w:val="24"/>
                      <w:szCs w:val="24"/>
                      <w:lang w:val="de-DE" w:eastAsia="de-DE"/>
                    </w:rPr>
                    <w:br/>
                  </w:r>
                  <w:r w:rsidRPr="0080677F">
                    <w:rPr>
                      <w:rFonts w:ascii="Times New Roman" w:eastAsia="Times New Roman" w:hAnsi="Times New Roman" w:cs="Times New Roman"/>
                      <w:b/>
                      <w:bCs/>
                      <w:sz w:val="24"/>
                      <w:szCs w:val="24"/>
                      <w:lang w:val="de-DE" w:eastAsia="de-DE"/>
                    </w:rPr>
                    <w:t>(a.n/Gazeta Shqiptare/BalkanWeb)</w:t>
                  </w:r>
                  <w:r w:rsidRPr="0080677F">
                    <w:rPr>
                      <w:rFonts w:ascii="Times New Roman" w:eastAsia="Times New Roman" w:hAnsi="Times New Roman" w:cs="Times New Roman"/>
                      <w:sz w:val="24"/>
                      <w:szCs w:val="24"/>
                      <w:lang w:val="de-DE" w:eastAsia="de-DE"/>
                    </w:rPr>
                    <w:t xml:space="preserve"> </w:t>
                  </w:r>
                </w:p>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sz w:val="24"/>
                      <w:szCs w:val="24"/>
                      <w:lang w:val="de-DE" w:eastAsia="de-DE"/>
                    </w:rPr>
                    <w:pict>
                      <v:shape id="_x0000_i1029" type="#_x0000_t75" alt="" style="width:.95pt;height:.95pt"/>
                    </w:pict>
                  </w:r>
                </w:p>
              </w:tc>
            </w:tr>
            <w:tr w:rsidR="0080677F" w:rsidRPr="0080677F">
              <w:trPr>
                <w:trHeight w:val="75"/>
                <w:tblCellSpacing w:w="0" w:type="dxa"/>
              </w:trPr>
              <w:tc>
                <w:tcPr>
                  <w:tcW w:w="0" w:type="auto"/>
                  <w:hideMark/>
                </w:tcPr>
                <w:p w:rsidR="0080677F" w:rsidRPr="0080677F" w:rsidRDefault="0080677F" w:rsidP="0080677F">
                  <w:pPr>
                    <w:spacing w:after="0" w:line="75" w:lineRule="atLeast"/>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sz w:val="24"/>
                      <w:szCs w:val="24"/>
                      <w:lang w:val="de-DE" w:eastAsia="de-DE"/>
                    </w:rPr>
                    <w:pict>
                      <v:shape id="_x0000_i1030" type="#_x0000_t75" alt="" style="width:.95pt;height:.95pt"/>
                    </w:pict>
                  </w:r>
                </w:p>
              </w:tc>
            </w:tr>
            <w:tr w:rsidR="0080677F" w:rsidRPr="0080677F">
              <w:trPr>
                <w:tblCellSpacing w:w="0" w:type="dxa"/>
              </w:trPr>
              <w:tc>
                <w:tcPr>
                  <w:tcW w:w="5000" w:type="pct"/>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r w:rsidR="0080677F" w:rsidRPr="0080677F">
              <w:trPr>
                <w:trHeight w:val="240"/>
                <w:tblCellSpacing w:w="0" w:type="dxa"/>
              </w:trPr>
              <w:tc>
                <w:tcPr>
                  <w:tcW w:w="0" w:type="auto"/>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r w:rsidR="0080677F" w:rsidRPr="0080677F">
              <w:trPr>
                <w:trHeight w:val="225"/>
                <w:tblCellSpacing w:w="0" w:type="dxa"/>
              </w:trPr>
              <w:tc>
                <w:tcPr>
                  <w:tcW w:w="0" w:type="auto"/>
                  <w:vAlign w:val="center"/>
                  <w:hideMark/>
                </w:tcPr>
                <w:p w:rsidR="0080677F" w:rsidRPr="0080677F" w:rsidRDefault="0080677F" w:rsidP="0080677F">
                  <w:pPr>
                    <w:spacing w:after="0" w:line="240" w:lineRule="auto"/>
                    <w:rPr>
                      <w:rFonts w:ascii="Times New Roman" w:eastAsia="Times New Roman" w:hAnsi="Times New Roman" w:cs="Times New Roman"/>
                      <w:szCs w:val="24"/>
                      <w:lang w:val="de-DE" w:eastAsia="de-DE"/>
                    </w:rPr>
                  </w:pPr>
                </w:p>
              </w:tc>
            </w:tr>
            <w:tr w:rsidR="0080677F" w:rsidRPr="0080677F">
              <w:trPr>
                <w:tblCellSpacing w:w="0" w:type="dxa"/>
              </w:trPr>
              <w:tc>
                <w:tcPr>
                  <w:tcW w:w="0" w:type="auto"/>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r w:rsidR="0080677F" w:rsidRPr="0080677F">
              <w:trPr>
                <w:trHeight w:val="150"/>
                <w:tblCellSpacing w:w="0" w:type="dxa"/>
              </w:trPr>
              <w:tc>
                <w:tcPr>
                  <w:tcW w:w="0" w:type="auto"/>
                  <w:vAlign w:val="center"/>
                  <w:hideMark/>
                </w:tcPr>
                <w:p w:rsidR="0080677F" w:rsidRPr="0080677F" w:rsidRDefault="0080677F" w:rsidP="0080677F">
                  <w:pPr>
                    <w:spacing w:after="0" w:line="240" w:lineRule="auto"/>
                    <w:rPr>
                      <w:rFonts w:ascii="Times New Roman" w:eastAsia="Times New Roman" w:hAnsi="Times New Roman" w:cs="Times New Roman"/>
                      <w:sz w:val="16"/>
                      <w:szCs w:val="24"/>
                      <w:lang w:val="de-DE" w:eastAsia="de-DE"/>
                    </w:rPr>
                  </w:pPr>
                </w:p>
              </w:tc>
            </w:tr>
            <w:tr w:rsidR="0080677F" w:rsidRPr="0080677F">
              <w:trPr>
                <w:tblCellSpacing w:w="0" w:type="dxa"/>
              </w:trPr>
              <w:tc>
                <w:tcPr>
                  <w:tcW w:w="0" w:type="auto"/>
                  <w:vAlign w:val="center"/>
                  <w:hideMark/>
                </w:tcPr>
                <w:tbl>
                  <w:tblPr>
                    <w:tblW w:w="5000" w:type="pct"/>
                    <w:tblCellSpacing w:w="0" w:type="dxa"/>
                    <w:tblCellMar>
                      <w:left w:w="0" w:type="dxa"/>
                      <w:right w:w="0" w:type="dxa"/>
                    </w:tblCellMar>
                    <w:tblLook w:val="04A0"/>
                  </w:tblPr>
                  <w:tblGrid>
                    <w:gridCol w:w="39"/>
                    <w:gridCol w:w="7781"/>
                  </w:tblGrid>
                  <w:tr w:rsidR="0080677F" w:rsidRPr="0080677F">
                    <w:trPr>
                      <w:tblCellSpacing w:w="0" w:type="dxa"/>
                    </w:trPr>
                    <w:tc>
                      <w:tcPr>
                        <w:tcW w:w="150" w:type="dxa"/>
                        <w:tcBorders>
                          <w:left w:val="single" w:sz="8" w:space="0" w:color="DFDFDF"/>
                        </w:tcBorders>
                        <w:vAlign w:val="center"/>
                        <w:hideMark/>
                      </w:tcPr>
                      <w:p w:rsidR="0080677F" w:rsidRPr="0080677F" w:rsidRDefault="0080677F" w:rsidP="0080677F">
                        <w:pPr>
                          <w:spacing w:before="281" w:after="0" w:line="240" w:lineRule="auto"/>
                          <w:rPr>
                            <w:rFonts w:ascii="Times New Roman" w:eastAsia="Times New Roman" w:hAnsi="Times New Roman" w:cs="Times New Roman"/>
                            <w:sz w:val="24"/>
                            <w:szCs w:val="24"/>
                            <w:lang w:val="de-DE" w:eastAsia="de-DE"/>
                          </w:rPr>
                        </w:pPr>
                        <w:bookmarkStart w:id="0" w:name="a_post_comments"/>
                        <w:bookmarkEnd w:id="0"/>
                        <w:r>
                          <w:rPr>
                            <w:rFonts w:ascii="Times New Roman" w:eastAsia="Times New Roman" w:hAnsi="Times New Roman" w:cs="Times New Roman"/>
                            <w:noProof/>
                            <w:sz w:val="24"/>
                            <w:szCs w:val="24"/>
                            <w:lang w:val="de-DE" w:eastAsia="de-DE"/>
                          </w:rPr>
                          <w:drawing>
                            <wp:inline distT="0" distB="0" distL="0" distR="0">
                              <wp:extent cx="12065" cy="12065"/>
                              <wp:effectExtent l="0" t="0" r="0" b="0"/>
                              <wp:docPr id="27" name="Bild 27" descr="http://www.balkanweb.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alkanweb.com/images/spacer.gif"/>
                                      <pic:cNvPicPr>
                                        <a:picLocks noChangeAspect="1" noChangeArrowheads="1"/>
                                      </pic:cNvPicPr>
                                    </pic:nvPicPr>
                                    <pic:blipFill>
                                      <a:blip r:embed="rId6"/>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c>
                      <w:tcPr>
                        <w:tcW w:w="5000" w:type="pct"/>
                        <w:vAlign w:val="center"/>
                        <w:hideMark/>
                      </w:tcPr>
                      <w:tbl>
                        <w:tblPr>
                          <w:tblW w:w="5000" w:type="pct"/>
                          <w:jc w:val="center"/>
                          <w:tblCellSpacing w:w="0" w:type="dxa"/>
                          <w:tblCellMar>
                            <w:left w:w="0" w:type="dxa"/>
                            <w:right w:w="0" w:type="dxa"/>
                          </w:tblCellMar>
                          <w:tblLook w:val="04A0"/>
                        </w:tblPr>
                        <w:tblGrid>
                          <w:gridCol w:w="7781"/>
                        </w:tblGrid>
                        <w:tr w:rsidR="0080677F" w:rsidRPr="0080677F">
                          <w:trPr>
                            <w:tblCellSpacing w:w="0" w:type="dxa"/>
                            <w:jc w:val="center"/>
                          </w:trPr>
                          <w:tc>
                            <w:tcPr>
                              <w:tcW w:w="0" w:type="auto"/>
                              <w:hideMark/>
                            </w:tcPr>
                            <w:tbl>
                              <w:tblPr>
                                <w:tblW w:w="5000" w:type="pct"/>
                                <w:tblCellSpacing w:w="0" w:type="dxa"/>
                                <w:tblCellMar>
                                  <w:left w:w="0" w:type="dxa"/>
                                  <w:right w:w="0" w:type="dxa"/>
                                </w:tblCellMar>
                                <w:tblLook w:val="04A0"/>
                              </w:tblPr>
                              <w:tblGrid>
                                <w:gridCol w:w="7781"/>
                              </w:tblGrid>
                              <w:tr w:rsidR="0080677F" w:rsidRPr="0080677F">
                                <w:trPr>
                                  <w:tblCellSpacing w:w="0" w:type="dxa"/>
                                </w:trPr>
                                <w:tc>
                                  <w:tcPr>
                                    <w:tcW w:w="0" w:type="auto"/>
                                    <w:vAlign w:val="center"/>
                                    <w:hideMark/>
                                  </w:tcPr>
                                  <w:tbl>
                                    <w:tblPr>
                                      <w:tblW w:w="5000" w:type="pct"/>
                                      <w:tblCellSpacing w:w="0" w:type="dxa"/>
                                      <w:tblCellMar>
                                        <w:left w:w="0" w:type="dxa"/>
                                        <w:right w:w="0" w:type="dxa"/>
                                      </w:tblCellMar>
                                      <w:tblLook w:val="04A0"/>
                                    </w:tblPr>
                                    <w:tblGrid>
                                      <w:gridCol w:w="7631"/>
                                      <w:gridCol w:w="150"/>
                                    </w:tblGrid>
                                    <w:tr w:rsidR="0080677F" w:rsidRPr="0080677F">
                                      <w:trPr>
                                        <w:tblCellSpacing w:w="0" w:type="dxa"/>
                                      </w:trPr>
                                      <w:tc>
                                        <w:tcPr>
                                          <w:tcW w:w="0" w:type="auto"/>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bl>
                                          <w:tblPr>
                                            <w:tblW w:w="5000" w:type="pct"/>
                                            <w:tblCellSpacing w:w="0" w:type="dxa"/>
                                            <w:tblCellMar>
                                              <w:left w:w="0" w:type="dxa"/>
                                              <w:right w:w="0" w:type="dxa"/>
                                            </w:tblCellMar>
                                            <w:tblLook w:val="04A0"/>
                                          </w:tblPr>
                                          <w:tblGrid>
                                            <w:gridCol w:w="7631"/>
                                          </w:tblGrid>
                                          <w:tr w:rsidR="0080677F" w:rsidRPr="0080677F">
                                            <w:trPr>
                                              <w:tblCellSpacing w:w="0" w:type="dxa"/>
                                            </w:trPr>
                                            <w:tc>
                                              <w:tcPr>
                                                <w:tcW w:w="0" w:type="auto"/>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r w:rsidRPr="0080677F">
                                                  <w:rPr>
                                                    <w:rFonts w:ascii="Arial" w:eastAsia="Times New Roman" w:hAnsi="Arial" w:cs="Arial"/>
                                                    <w:b/>
                                                    <w:bCs/>
                                                    <w:color w:val="999999"/>
                                                    <w:lang w:val="de-DE" w:eastAsia="de-DE"/>
                                                  </w:rPr>
                                                  <w:t xml:space="preserve">Dërguar nga </w:t>
                                                </w:r>
                                                <w:r w:rsidRPr="0080677F">
                                                  <w:rPr>
                                                    <w:rFonts w:ascii="Arial" w:eastAsia="Times New Roman" w:hAnsi="Arial" w:cs="Arial"/>
                                                    <w:b/>
                                                    <w:bCs/>
                                                    <w:color w:val="990000"/>
                                                    <w:lang w:val="de-DE" w:eastAsia="de-DE"/>
                                                  </w:rPr>
                                                  <w:t xml:space="preserve">♂007 </w:t>
                                                </w:r>
                                                <w:r w:rsidRPr="0080677F">
                                                  <w:rPr>
                                                    <w:rFonts w:ascii="Arial" w:eastAsia="Times New Roman" w:hAnsi="Arial" w:cs="Arial"/>
                                                    <w:b/>
                                                    <w:bCs/>
                                                    <w:color w:val="999999"/>
                                                    <w:lang w:val="de-DE" w:eastAsia="de-DE"/>
                                                  </w:rPr>
                                                  <w:t>më 24-03-2014 në 15:31</w:t>
                                                </w:r>
                                              </w:p>
                                            </w:tc>
                                          </w:tr>
                                          <w:tr w:rsidR="0080677F" w:rsidRPr="0080677F">
                                            <w:trPr>
                                              <w:trHeight w:val="15"/>
                                              <w:tblCellSpacing w:w="0" w:type="dxa"/>
                                            </w:trPr>
                                            <w:tc>
                                              <w:tcPr>
                                                <w:tcW w:w="0" w:type="auto"/>
                                                <w:vAlign w:val="center"/>
                                                <w:hideMark/>
                                              </w:tcPr>
                                              <w:p w:rsidR="0080677F" w:rsidRPr="0080677F" w:rsidRDefault="0080677F" w:rsidP="0080677F">
                                                <w:pPr>
                                                  <w:spacing w:after="0" w:line="15" w:lineRule="atLeast"/>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12065" cy="12065"/>
                                                      <wp:effectExtent l="0" t="0" r="0" b="0"/>
                                                      <wp:docPr id="28" name="Bild 28" descr="http://www.balkanweb.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alkanweb.com/images/spacer.gif"/>
                                                              <pic:cNvPicPr>
                                                                <a:picLocks noChangeAspect="1" noChangeArrowheads="1"/>
                                                              </pic:cNvPicPr>
                                                            </pic:nvPicPr>
                                                            <pic:blipFill>
                                                              <a:blip r:embed="rId6"/>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r>
                                          <w:tr w:rsidR="0080677F" w:rsidRPr="0080677F">
                                            <w:trPr>
                                              <w:tblCellSpacing w:w="0" w:type="dxa"/>
                                            </w:trPr>
                                            <w:tc>
                                              <w:tcPr>
                                                <w:tcW w:w="0" w:type="auto"/>
                                                <w:tcMar>
                                                  <w:top w:w="37" w:type="dxa"/>
                                                  <w:left w:w="37" w:type="dxa"/>
                                                  <w:bottom w:w="37" w:type="dxa"/>
                                                  <w:right w:w="37" w:type="dxa"/>
                                                </w:tcMar>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sz w:val="24"/>
                                                    <w:szCs w:val="24"/>
                                                    <w:lang w:val="it-IT" w:eastAsia="de-DE"/>
                                                  </w:rPr>
                                                  <w:t xml:space="preserve">Amfiteatri i mbulum me dhe tash kushedi sa dekada nuk jane te zote me e pastru. Edhe me nje karroce dore do ta kishin pastru po te kene vullnet. </w:t>
                                                </w:r>
                                                <w:r w:rsidRPr="0080677F">
                                                  <w:rPr>
                                                    <w:rFonts w:ascii="Times New Roman" w:eastAsia="Times New Roman" w:hAnsi="Times New Roman" w:cs="Times New Roman"/>
                                                    <w:sz w:val="24"/>
                                                    <w:szCs w:val="24"/>
                                                    <w:lang w:val="de-DE" w:eastAsia="de-DE"/>
                                                  </w:rPr>
                                                  <w:t>Ah cfare maskarejsh</w:t>
                                                </w:r>
                                              </w:p>
                                            </w:tc>
                                          </w:tr>
                                        </w:tbl>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c>
                                        <w:tcPr>
                                          <w:tcW w:w="150" w:type="dxa"/>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bl>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bl>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r w:rsidR="0080677F" w:rsidRPr="0080677F">
                          <w:trPr>
                            <w:tblCellSpacing w:w="0" w:type="dxa"/>
                            <w:jc w:val="center"/>
                          </w:trPr>
                          <w:tc>
                            <w:tcPr>
                              <w:tcW w:w="0" w:type="auto"/>
                              <w:vAlign w:val="center"/>
                              <w:hideMark/>
                            </w:tcPr>
                            <w:tbl>
                              <w:tblPr>
                                <w:tblW w:w="3850" w:type="pct"/>
                                <w:jc w:val="center"/>
                                <w:tblCellSpacing w:w="0" w:type="dxa"/>
                                <w:tblCellMar>
                                  <w:left w:w="0" w:type="dxa"/>
                                  <w:right w:w="0" w:type="dxa"/>
                                </w:tblCellMar>
                                <w:tblLook w:val="04A0"/>
                              </w:tblPr>
                              <w:tblGrid>
                                <w:gridCol w:w="5991"/>
                              </w:tblGrid>
                              <w:tr w:rsidR="0080677F" w:rsidRPr="0080677F">
                                <w:trPr>
                                  <w:trHeight w:val="150"/>
                                  <w:tblCellSpacing w:w="0" w:type="dxa"/>
                                  <w:jc w:val="center"/>
                                </w:trPr>
                                <w:tc>
                                  <w:tcPr>
                                    <w:tcW w:w="0" w:type="auto"/>
                                    <w:vAlign w:val="center"/>
                                    <w:hideMark/>
                                  </w:tcPr>
                                  <w:p w:rsidR="0080677F" w:rsidRPr="0080677F" w:rsidRDefault="0080677F" w:rsidP="0080677F">
                                    <w:pPr>
                                      <w:spacing w:after="0" w:line="150" w:lineRule="atLeast"/>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12065" cy="12065"/>
                                          <wp:effectExtent l="0" t="0" r="0" b="0"/>
                                          <wp:docPr id="29" name="Bild 29" descr="http://www.balkanweb.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alkanweb.com/images/spacer.gif"/>
                                                  <pic:cNvPicPr>
                                                    <a:picLocks noChangeAspect="1" noChangeArrowheads="1"/>
                                                  </pic:cNvPicPr>
                                                </pic:nvPicPr>
                                                <pic:blipFill>
                                                  <a:blip r:embed="rId6"/>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r>
                              <w:tr w:rsidR="0080677F" w:rsidRPr="0080677F">
                                <w:trPr>
                                  <w:trHeight w:val="150"/>
                                  <w:tblCellSpacing w:w="0" w:type="dxa"/>
                                  <w:jc w:val="center"/>
                                </w:trPr>
                                <w:tc>
                                  <w:tcPr>
                                    <w:tcW w:w="0" w:type="auto"/>
                                    <w:vAlign w:val="center"/>
                                    <w:hideMark/>
                                  </w:tcPr>
                                  <w:p w:rsidR="0080677F" w:rsidRPr="0080677F" w:rsidRDefault="0080677F" w:rsidP="0080677F">
                                    <w:pPr>
                                      <w:spacing w:after="0" w:line="150" w:lineRule="atLeast"/>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12065" cy="12065"/>
                                          <wp:effectExtent l="0" t="0" r="0" b="0"/>
                                          <wp:docPr id="30" name="Bild 30" descr="http://www.balkanweb.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alkanweb.com/images/spacer.gif"/>
                                                  <pic:cNvPicPr>
                                                    <a:picLocks noChangeAspect="1" noChangeArrowheads="1"/>
                                                  </pic:cNvPicPr>
                                                </pic:nvPicPr>
                                                <pic:blipFill>
                                                  <a:blip r:embed="rId6"/>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r>
                            </w:tbl>
                            <w:p w:rsidR="0080677F" w:rsidRPr="0080677F" w:rsidRDefault="0080677F" w:rsidP="0080677F">
                              <w:pPr>
                                <w:spacing w:after="0" w:line="240" w:lineRule="auto"/>
                                <w:jc w:val="center"/>
                                <w:rPr>
                                  <w:rFonts w:ascii="Times New Roman" w:eastAsia="Times New Roman" w:hAnsi="Times New Roman" w:cs="Times New Roman"/>
                                  <w:sz w:val="24"/>
                                  <w:szCs w:val="24"/>
                                  <w:lang w:val="de-DE" w:eastAsia="de-DE"/>
                                </w:rPr>
                              </w:pPr>
                            </w:p>
                          </w:tc>
                        </w:tr>
                        <w:tr w:rsidR="0080677F" w:rsidRPr="0080677F">
                          <w:trPr>
                            <w:tblCellSpacing w:w="0" w:type="dxa"/>
                            <w:jc w:val="center"/>
                          </w:trPr>
                          <w:tc>
                            <w:tcPr>
                              <w:tcW w:w="0" w:type="auto"/>
                              <w:hideMark/>
                            </w:tcPr>
                            <w:tbl>
                              <w:tblPr>
                                <w:tblW w:w="5000" w:type="pct"/>
                                <w:tblCellSpacing w:w="0" w:type="dxa"/>
                                <w:tblCellMar>
                                  <w:left w:w="0" w:type="dxa"/>
                                  <w:right w:w="0" w:type="dxa"/>
                                </w:tblCellMar>
                                <w:tblLook w:val="04A0"/>
                              </w:tblPr>
                              <w:tblGrid>
                                <w:gridCol w:w="7781"/>
                              </w:tblGrid>
                              <w:tr w:rsidR="0080677F" w:rsidRPr="0080677F">
                                <w:trPr>
                                  <w:tblCellSpacing w:w="0" w:type="dxa"/>
                                </w:trPr>
                                <w:tc>
                                  <w:tcPr>
                                    <w:tcW w:w="0" w:type="auto"/>
                                    <w:vAlign w:val="center"/>
                                    <w:hideMark/>
                                  </w:tcPr>
                                  <w:tbl>
                                    <w:tblPr>
                                      <w:tblW w:w="5000" w:type="pct"/>
                                      <w:tblCellSpacing w:w="0" w:type="dxa"/>
                                      <w:tblCellMar>
                                        <w:left w:w="0" w:type="dxa"/>
                                        <w:right w:w="0" w:type="dxa"/>
                                      </w:tblCellMar>
                                      <w:tblLook w:val="04A0"/>
                                    </w:tblPr>
                                    <w:tblGrid>
                                      <w:gridCol w:w="7781"/>
                                    </w:tblGrid>
                                    <w:tr w:rsidR="0080677F" w:rsidRPr="0080677F">
                                      <w:trPr>
                                        <w:tblCellSpacing w:w="0" w:type="dxa"/>
                                      </w:trPr>
                                      <w:tc>
                                        <w:tcPr>
                                          <w:tcW w:w="0" w:type="auto"/>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bl>
                                          <w:tblPr>
                                            <w:tblW w:w="5000" w:type="pct"/>
                                            <w:tblCellSpacing w:w="0" w:type="dxa"/>
                                            <w:tblCellMar>
                                              <w:left w:w="0" w:type="dxa"/>
                                              <w:right w:w="0" w:type="dxa"/>
                                            </w:tblCellMar>
                                            <w:tblLook w:val="04A0"/>
                                          </w:tblPr>
                                          <w:tblGrid>
                                            <w:gridCol w:w="7781"/>
                                          </w:tblGrid>
                                          <w:tr w:rsidR="0080677F" w:rsidRPr="0080677F">
                                            <w:trPr>
                                              <w:tblCellSpacing w:w="0" w:type="dxa"/>
                                            </w:trPr>
                                            <w:tc>
                                              <w:tcPr>
                                                <w:tcW w:w="0" w:type="auto"/>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it-IT" w:eastAsia="de-DE"/>
                                                  </w:rPr>
                                                </w:pPr>
                                                <w:r w:rsidRPr="0080677F">
                                                  <w:rPr>
                                                    <w:rFonts w:ascii="Arial" w:eastAsia="Times New Roman" w:hAnsi="Arial" w:cs="Arial"/>
                                                    <w:b/>
                                                    <w:bCs/>
                                                    <w:color w:val="999999"/>
                                                    <w:lang w:val="it-IT" w:eastAsia="de-DE"/>
                                                  </w:rPr>
                                                  <w:t xml:space="preserve">Dërguar nga </w:t>
                                                </w:r>
                                                <w:r w:rsidRPr="0080677F">
                                                  <w:rPr>
                                                    <w:rFonts w:ascii="Arial" w:eastAsia="Times New Roman" w:hAnsi="Arial" w:cs="Arial"/>
                                                    <w:b/>
                                                    <w:bCs/>
                                                    <w:color w:val="990000"/>
                                                    <w:lang w:val="it-IT" w:eastAsia="de-DE"/>
                                                  </w:rPr>
                                                  <w:t xml:space="preserve">Rizarti </w:t>
                                                </w:r>
                                                <w:r w:rsidRPr="0080677F">
                                                  <w:rPr>
                                                    <w:rFonts w:ascii="Arial" w:eastAsia="Times New Roman" w:hAnsi="Arial" w:cs="Arial"/>
                                                    <w:b/>
                                                    <w:bCs/>
                                                    <w:color w:val="999999"/>
                                                    <w:lang w:val="it-IT" w:eastAsia="de-DE"/>
                                                  </w:rPr>
                                                  <w:t>më 24-03-2014 në 10:53</w:t>
                                                </w:r>
                                              </w:p>
                                            </w:tc>
                                          </w:tr>
                                          <w:tr w:rsidR="0080677F" w:rsidRPr="0080677F">
                                            <w:trPr>
                                              <w:trHeight w:val="15"/>
                                              <w:tblCellSpacing w:w="0" w:type="dxa"/>
                                            </w:trPr>
                                            <w:tc>
                                              <w:tcPr>
                                                <w:tcW w:w="0" w:type="auto"/>
                                                <w:vAlign w:val="center"/>
                                                <w:hideMark/>
                                              </w:tcPr>
                                              <w:p w:rsidR="0080677F" w:rsidRPr="0080677F" w:rsidRDefault="0080677F" w:rsidP="0080677F">
                                                <w:pPr>
                                                  <w:spacing w:after="0" w:line="15" w:lineRule="atLeast"/>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12065" cy="12065"/>
                                                      <wp:effectExtent l="0" t="0" r="0" b="0"/>
                                                      <wp:docPr id="31" name="Bild 31" descr="http://www.balkanweb.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alkanweb.com/images/spacer.gif"/>
                                                              <pic:cNvPicPr>
                                                                <a:picLocks noChangeAspect="1" noChangeArrowheads="1"/>
                                                              </pic:cNvPicPr>
                                                            </pic:nvPicPr>
                                                            <pic:blipFill>
                                                              <a:blip r:embed="rId6"/>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r>
                                          <w:tr w:rsidR="0080677F" w:rsidRPr="0080677F">
                                            <w:trPr>
                                              <w:tblCellSpacing w:w="0" w:type="dxa"/>
                                            </w:trPr>
                                            <w:tc>
                                              <w:tcPr>
                                                <w:tcW w:w="0" w:type="auto"/>
                                                <w:tcMar>
                                                  <w:top w:w="37" w:type="dxa"/>
                                                  <w:left w:w="37" w:type="dxa"/>
                                                  <w:bottom w:w="37" w:type="dxa"/>
                                                  <w:right w:w="37" w:type="dxa"/>
                                                </w:tcMar>
                                                <w:vAlign w:val="center"/>
                                                <w:hideMark/>
                                              </w:tcPr>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r w:rsidRPr="0080677F">
                                                  <w:rPr>
                                                    <w:rFonts w:ascii="Times New Roman" w:eastAsia="Times New Roman" w:hAnsi="Times New Roman" w:cs="Times New Roman"/>
                                                    <w:sz w:val="24"/>
                                                    <w:szCs w:val="24"/>
                                                    <w:lang w:val="de-DE" w:eastAsia="de-DE"/>
                                                  </w:rPr>
                                                  <w:t xml:space="preserve">Shkrim shume i bukur, shteti Shqiptar duhet te reagoje dhe te shembe te gjitha ato kjoskat qe shesin byreke, qe ndodhen rreth amfiteatrit ne Durres, rruga automobilistike qe kalon afer tij duhet te behet vetem per kembesore. Duhet qe Amfitetri te dale ne drite, te restaurohet ne baze te projektit qe eshte ndertuar </w:t>
                                                </w:r>
                                                <w:r w:rsidRPr="0080677F">
                                                  <w:rPr>
                                                    <w:rFonts w:ascii="Times New Roman" w:eastAsia="Times New Roman" w:hAnsi="Times New Roman" w:cs="Times New Roman"/>
                                                    <w:sz w:val="24"/>
                                                    <w:szCs w:val="24"/>
                                                    <w:lang w:val="de-DE" w:eastAsia="de-DE"/>
                                                  </w:rPr>
                                                  <w:lastRenderedPageBreak/>
                                                  <w:t>dhe te paraqese veprimatrite e tij per menyren e jeteses se popullsise ne ate periudhe kohore, aktiviteteve qe zhvilloheshin ne ambjentet e tij.</w:t>
                                                </w:r>
                                              </w:p>
                                            </w:tc>
                                          </w:tr>
                                        </w:tbl>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bl>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bl>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bl>
                      <w:p w:rsidR="0080677F" w:rsidRPr="0080677F" w:rsidRDefault="0080677F" w:rsidP="0080677F">
                        <w:pPr>
                          <w:spacing w:before="281" w:after="0" w:line="240" w:lineRule="auto"/>
                          <w:jc w:val="center"/>
                          <w:rPr>
                            <w:rFonts w:ascii="Times New Roman" w:eastAsia="Times New Roman" w:hAnsi="Times New Roman" w:cs="Times New Roman"/>
                            <w:sz w:val="24"/>
                            <w:szCs w:val="24"/>
                            <w:lang w:val="de-DE" w:eastAsia="de-DE"/>
                          </w:rPr>
                        </w:pPr>
                      </w:p>
                    </w:tc>
                  </w:tr>
                </w:tbl>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bl>
          <w:p w:rsidR="0080677F" w:rsidRPr="0080677F" w:rsidRDefault="0080677F" w:rsidP="0080677F">
            <w:pPr>
              <w:spacing w:after="0" w:line="240" w:lineRule="auto"/>
              <w:rPr>
                <w:rFonts w:ascii="Times New Roman" w:eastAsia="Times New Roman" w:hAnsi="Times New Roman" w:cs="Times New Roman"/>
                <w:sz w:val="24"/>
                <w:szCs w:val="24"/>
                <w:lang w:val="de-DE" w:eastAsia="de-DE"/>
              </w:rPr>
            </w:pPr>
          </w:p>
        </w:tc>
      </w:tr>
    </w:tbl>
    <w:p w:rsidR="00340F60" w:rsidRPr="0080677F" w:rsidRDefault="00340F60">
      <w:pPr>
        <w:rPr>
          <w:lang w:val="de-DE"/>
        </w:rPr>
      </w:pPr>
    </w:p>
    <w:sectPr w:rsidR="00340F60" w:rsidRPr="0080677F" w:rsidSect="00340F60">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018" w:rsidRDefault="00642018" w:rsidP="0080677F">
      <w:pPr>
        <w:spacing w:after="0" w:line="240" w:lineRule="auto"/>
      </w:pPr>
      <w:r>
        <w:separator/>
      </w:r>
    </w:p>
  </w:endnote>
  <w:endnote w:type="continuationSeparator" w:id="0">
    <w:p w:rsidR="00642018" w:rsidRDefault="00642018" w:rsidP="00806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13402"/>
      <w:docPartObj>
        <w:docPartGallery w:val="Page Numbers (Bottom of Page)"/>
        <w:docPartUnique/>
      </w:docPartObj>
    </w:sdtPr>
    <w:sdtContent>
      <w:p w:rsidR="0080677F" w:rsidRDefault="0080677F">
        <w:pPr>
          <w:pStyle w:val="Fuzeile"/>
          <w:jc w:val="right"/>
        </w:pPr>
        <w:fldSimple w:instr=" PAGE   \* MERGEFORMAT ">
          <w:r>
            <w:rPr>
              <w:noProof/>
            </w:rPr>
            <w:t>1</w:t>
          </w:r>
        </w:fldSimple>
      </w:p>
    </w:sdtContent>
  </w:sdt>
  <w:p w:rsidR="0080677F" w:rsidRDefault="0080677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018" w:rsidRDefault="00642018" w:rsidP="0080677F">
      <w:pPr>
        <w:spacing w:after="0" w:line="240" w:lineRule="auto"/>
      </w:pPr>
      <w:r>
        <w:separator/>
      </w:r>
    </w:p>
  </w:footnote>
  <w:footnote w:type="continuationSeparator" w:id="0">
    <w:p w:rsidR="00642018" w:rsidRDefault="00642018" w:rsidP="008067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hyphenationZone w:val="425"/>
  <w:characterSpacingControl w:val="doNotCompress"/>
  <w:footnotePr>
    <w:footnote w:id="-1"/>
    <w:footnote w:id="0"/>
  </w:footnotePr>
  <w:endnotePr>
    <w:endnote w:id="-1"/>
    <w:endnote w:id="0"/>
  </w:endnotePr>
  <w:compat/>
  <w:rsids>
    <w:rsidRoot w:val="0080677F"/>
    <w:rsid w:val="00003453"/>
    <w:rsid w:val="00340F60"/>
    <w:rsid w:val="00411BCF"/>
    <w:rsid w:val="00642018"/>
    <w:rsid w:val="0080677F"/>
    <w:rsid w:val="00870740"/>
    <w:rsid w:val="008834FE"/>
    <w:rsid w:val="009B131F"/>
    <w:rsid w:val="00AB2543"/>
    <w:rsid w:val="00AB4709"/>
    <w:rsid w:val="00C04C67"/>
    <w:rsid w:val="00CA357D"/>
    <w:rsid w:val="00EB7088"/>
    <w:rsid w:val="00FF5D35"/>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0F60"/>
    <w:rPr>
      <w:lang w:val="tr-T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0677F"/>
    <w:rPr>
      <w:color w:val="0000FF"/>
      <w:u w:val="single"/>
    </w:rPr>
  </w:style>
  <w:style w:type="character" w:styleId="Fett">
    <w:name w:val="Strong"/>
    <w:basedOn w:val="Absatz-Standardschriftart"/>
    <w:uiPriority w:val="22"/>
    <w:qFormat/>
    <w:rsid w:val="0080677F"/>
    <w:rPr>
      <w:b/>
      <w:bCs/>
    </w:rPr>
  </w:style>
  <w:style w:type="character" w:styleId="Hervorhebung">
    <w:name w:val="Emphasis"/>
    <w:basedOn w:val="Absatz-Standardschriftart"/>
    <w:uiPriority w:val="20"/>
    <w:qFormat/>
    <w:rsid w:val="0080677F"/>
    <w:rPr>
      <w:i/>
      <w:iCs/>
    </w:rPr>
  </w:style>
  <w:style w:type="character" w:customStyle="1" w:styleId="fontintbox">
    <w:name w:val="fontintbox"/>
    <w:basedOn w:val="Absatz-Standardschriftart"/>
    <w:rsid w:val="0080677F"/>
  </w:style>
  <w:style w:type="paragraph" w:styleId="Sprechblasentext">
    <w:name w:val="Balloon Text"/>
    <w:basedOn w:val="Standard"/>
    <w:link w:val="SprechblasentextZchn"/>
    <w:uiPriority w:val="99"/>
    <w:semiHidden/>
    <w:unhideWhenUsed/>
    <w:rsid w:val="008067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677F"/>
    <w:rPr>
      <w:rFonts w:ascii="Tahoma" w:hAnsi="Tahoma" w:cs="Tahoma"/>
      <w:sz w:val="16"/>
      <w:szCs w:val="16"/>
      <w:lang w:val="tr-TR"/>
    </w:rPr>
  </w:style>
  <w:style w:type="paragraph" w:styleId="Kopfzeile">
    <w:name w:val="header"/>
    <w:basedOn w:val="Standard"/>
    <w:link w:val="KopfzeileZchn"/>
    <w:uiPriority w:val="99"/>
    <w:semiHidden/>
    <w:unhideWhenUsed/>
    <w:rsid w:val="008067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0677F"/>
    <w:rPr>
      <w:lang w:val="tr-TR"/>
    </w:rPr>
  </w:style>
  <w:style w:type="paragraph" w:styleId="Fuzeile">
    <w:name w:val="footer"/>
    <w:basedOn w:val="Standard"/>
    <w:link w:val="FuzeileZchn"/>
    <w:uiPriority w:val="99"/>
    <w:unhideWhenUsed/>
    <w:rsid w:val="008067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677F"/>
    <w:rPr>
      <w:lang w:val="tr-TR"/>
    </w:rPr>
  </w:style>
</w:styles>
</file>

<file path=word/webSettings.xml><?xml version="1.0" encoding="utf-8"?>
<w:webSettings xmlns:r="http://schemas.openxmlformats.org/officeDocument/2006/relationships" xmlns:w="http://schemas.openxmlformats.org/wordprocessingml/2006/main">
  <w:divs>
    <w:div w:id="1935937678">
      <w:bodyDiv w:val="1"/>
      <w:marLeft w:val="0"/>
      <w:marRight w:val="0"/>
      <w:marTop w:val="0"/>
      <w:marBottom w:val="0"/>
      <w:divBdr>
        <w:top w:val="none" w:sz="0" w:space="0" w:color="auto"/>
        <w:left w:val="none" w:sz="0" w:space="0" w:color="auto"/>
        <w:bottom w:val="none" w:sz="0" w:space="0" w:color="auto"/>
        <w:right w:val="none" w:sz="0" w:space="0" w:color="auto"/>
      </w:divBdr>
      <w:divsChild>
        <w:div w:id="185854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2849</Words>
  <Characters>17951</Characters>
  <Application>Microsoft Office Word</Application>
  <DocSecurity>0</DocSecurity>
  <Lines>149</Lines>
  <Paragraphs>41</Paragraphs>
  <ScaleCrop>false</ScaleCrop>
  <Company/>
  <LinksUpToDate>false</LinksUpToDate>
  <CharactersWithSpaces>20759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dc:creator>
  <cp:lastModifiedBy>Gerg</cp:lastModifiedBy>
  <cp:revision>1</cp:revision>
  <dcterms:created xsi:type="dcterms:W3CDTF">2014-03-24T18:12:00Z</dcterms:created>
  <dcterms:modified xsi:type="dcterms:W3CDTF">2014-03-24T18:22:00Z</dcterms:modified>
</cp:coreProperties>
</file>